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5C" w:rsidRDefault="008C435C" w:rsidP="008C435C">
      <w:pPr>
        <w:pStyle w:val="1"/>
        <w:ind w:firstLineChars="0" w:firstLine="0"/>
        <w:rPr>
          <w:rFonts w:ascii="宋体" w:eastAsia="宋体" w:hAnsi="宋体" w:cs="Arial"/>
          <w:b/>
          <w:sz w:val="24"/>
          <w:szCs w:val="24"/>
        </w:rPr>
      </w:pPr>
      <w:r>
        <w:rPr>
          <w:rFonts w:ascii="宋体" w:eastAsia="宋体" w:hAnsi="宋体" w:cs="Arial" w:hint="eastAsia"/>
          <w:b/>
          <w:sz w:val="24"/>
          <w:szCs w:val="24"/>
        </w:rPr>
        <w:t xml:space="preserve">项目日程 </w:t>
      </w:r>
      <w:bookmarkStart w:id="0" w:name="_GoBack"/>
      <w:bookmarkEnd w:id="0"/>
      <w:r>
        <w:rPr>
          <w:rFonts w:ascii="Calibri Bold" w:eastAsia="宋体" w:hAnsi="Calibri Bold" w:cs="Calibri Bold"/>
          <w:b/>
          <w:bCs/>
          <w:sz w:val="24"/>
          <w:szCs w:val="24"/>
        </w:rPr>
        <w:t xml:space="preserve">Program </w:t>
      </w:r>
      <w:r>
        <w:rPr>
          <w:rFonts w:ascii="Calibri Regular" w:eastAsia="宋体" w:hAnsi="Calibri Regular" w:cs="Calibri Regular"/>
          <w:b/>
          <w:sz w:val="24"/>
          <w:szCs w:val="24"/>
        </w:rPr>
        <w:t>Agenda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820"/>
        <w:gridCol w:w="3118"/>
      </w:tblGrid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Adobe Caslon Pro" w:hAnsi="Adobe Caslon Pro"/>
                <w:b/>
                <w:color w:val="000000"/>
                <w:sz w:val="28"/>
                <w:szCs w:val="24"/>
              </w:rPr>
            </w:pPr>
            <w:r>
              <w:rPr>
                <w:rFonts w:ascii="Adobe Caslon Pro" w:hAnsi="Adobe Caslon Pro"/>
                <w:b/>
                <w:color w:val="000000"/>
                <w:sz w:val="28"/>
                <w:szCs w:val="24"/>
              </w:rPr>
              <w:t>Date</w:t>
            </w:r>
          </w:p>
        </w:tc>
        <w:tc>
          <w:tcPr>
            <w:tcW w:w="1417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Adobe Caslon Pro" w:hAnsi="Adobe Caslon Pro"/>
                <w:b/>
                <w:color w:val="000000"/>
                <w:sz w:val="28"/>
                <w:szCs w:val="24"/>
              </w:rPr>
            </w:pPr>
            <w:r>
              <w:rPr>
                <w:rFonts w:ascii="Adobe Caslon Pro" w:hAnsi="Adobe Caslon Pro"/>
                <w:b/>
                <w:color w:val="000000"/>
                <w:sz w:val="28"/>
                <w:szCs w:val="24"/>
              </w:rPr>
              <w:t>Time</w:t>
            </w:r>
          </w:p>
        </w:tc>
        <w:tc>
          <w:tcPr>
            <w:tcW w:w="4820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Adobe Caslon Pro" w:hAnsi="Adobe Caslon Pro"/>
                <w:b/>
                <w:color w:val="000000"/>
                <w:sz w:val="28"/>
                <w:szCs w:val="24"/>
              </w:rPr>
            </w:pPr>
            <w:r>
              <w:rPr>
                <w:rFonts w:ascii="Adobe Caslon Pro" w:hAnsi="Adobe Caslon Pro"/>
                <w:b/>
                <w:color w:val="000000"/>
                <w:sz w:val="28"/>
                <w:szCs w:val="24"/>
              </w:rPr>
              <w:t>Activity</w:t>
            </w:r>
          </w:p>
        </w:tc>
        <w:tc>
          <w:tcPr>
            <w:tcW w:w="3118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Adobe Caslon Pro" w:hAnsi="Adobe Caslon Pro"/>
                <w:b/>
                <w:color w:val="000000"/>
                <w:sz w:val="28"/>
                <w:szCs w:val="24"/>
              </w:rPr>
            </w:pPr>
            <w:r>
              <w:rPr>
                <w:rFonts w:ascii="Adobe Caslon Pro" w:hAnsi="Adobe Caslon Pro"/>
                <w:b/>
                <w:color w:val="000000"/>
                <w:sz w:val="28"/>
                <w:szCs w:val="24"/>
              </w:rPr>
              <w:t>Responsible members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Participants information collection 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 Bold" w:hAnsi="Calibri Bold" w:cs="Calibri Bold"/>
                <w:b/>
                <w:bCs/>
                <w:sz w:val="20"/>
                <w:szCs w:val="20"/>
              </w:rPr>
              <w:t>ONLINE OPENING CEREMONY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Mon. 2/8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Opening Ceremony 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 introduction and welcome remarks 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Hans"/>
              </w:rPr>
              <w:t>WHO, NUS, WORLD BANK</w:t>
            </w: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alibri Regular" w:hAnsi="Calibri Regular" w:cs="Calibri Regular"/>
                <w:b/>
                <w:bCs/>
                <w:color w:val="000000"/>
                <w:sz w:val="20"/>
                <w:szCs w:val="20"/>
              </w:rPr>
              <w:t xml:space="preserve">MODULE 1 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Mon. 9/8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1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Official opening and introduction to </w:t>
            </w:r>
            <w:proofErr w:type="spellStart"/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Lecture 2 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新发呼吸道病毒：发现、预防、应对与控制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Emerging respiratory viruses, including COVID-19: methods for detection, prevention, response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3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可持续发展目标与</w:t>
            </w:r>
            <w:r>
              <w:rPr>
                <w:color w:val="000000"/>
                <w:sz w:val="20"/>
                <w:szCs w:val="20"/>
              </w:rPr>
              <w:t>2019冠状病毒</w:t>
            </w:r>
            <w:proofErr w:type="gramStart"/>
            <w:r>
              <w:rPr>
                <w:color w:val="000000"/>
                <w:sz w:val="20"/>
                <w:szCs w:val="20"/>
              </w:rPr>
              <w:t>病全球</w:t>
            </w:r>
            <w:proofErr w:type="gramEnd"/>
            <w:r>
              <w:rPr>
                <w:color w:val="000000"/>
                <w:sz w:val="20"/>
                <w:szCs w:val="20"/>
              </w:rPr>
              <w:t>应对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Sustainable Development Goals and the Global Response to COVID-19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UNDP</w:t>
            </w:r>
          </w:p>
        </w:tc>
      </w:tr>
      <w:tr w:rsidR="008C435C" w:rsidTr="00C76146">
        <w:trPr>
          <w:trHeight w:val="666"/>
        </w:trPr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4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全球复合型风险治理</w:t>
            </w:r>
          </w:p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A Comprehensive Framework for Risk Governance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HARVARD UNIVERSITY</w:t>
            </w:r>
          </w:p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C435C" w:rsidTr="00C76146">
        <w:trPr>
          <w:trHeight w:val="666"/>
        </w:trPr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5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经验分享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Fighting COVID-19 in China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 Cross</w:t>
            </w:r>
          </w:p>
        </w:tc>
      </w:tr>
      <w:tr w:rsidR="008C435C" w:rsidTr="00C76146">
        <w:trPr>
          <w:trHeight w:val="666"/>
        </w:trPr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6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处理公共卫生事件中的社区角色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Role of Communities in Managing Public Health Emergencies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IFRC</w:t>
            </w:r>
          </w:p>
        </w:tc>
      </w:tr>
      <w:tr w:rsidR="008C435C" w:rsidTr="00C76146">
        <w:trPr>
          <w:trHeight w:val="666"/>
        </w:trPr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7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风险认知文化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Cultural Risk Perception: </w:t>
            </w:r>
            <w:proofErr w:type="spellStart"/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Icheng</w:t>
            </w:r>
            <w:proofErr w:type="spellEnd"/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 xml:space="preserve"> and Chinese Risk Philosophy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BNU</w:t>
            </w: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b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b/>
                <w:bCs/>
                <w:color w:val="000000"/>
                <w:sz w:val="20"/>
                <w:szCs w:val="20"/>
              </w:rPr>
              <w:t>MODULE 2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Tue.</w:t>
            </w: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17/8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1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风险沟通要素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Risk Communication Essentials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2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.社区卫生与急救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Community-Based Health and First Aid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IFRC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3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社区综合风险治理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Community-Based Risk Governance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UNDP &amp; BNU</w:t>
            </w: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b/>
                <w:color w:val="000000"/>
                <w:sz w:val="20"/>
                <w:szCs w:val="20"/>
              </w:rPr>
              <w:t>MODULE 3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Mon.</w:t>
            </w: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23/8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1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面对不确定性未来的社区韧性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Building Community Resilience in an Uncertain Future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HAWAII UNIVERSITY</w:t>
            </w:r>
          </w:p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2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增强免疫力：新冠疫情中的社区韧性构建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Building Immunity: Community Resilience in the Covid-19 Pandemic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NUS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3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社区参与</w:t>
            </w:r>
            <w:proofErr w:type="gramStart"/>
            <w:r>
              <w:rPr>
                <w:rFonts w:hint="eastAsia"/>
                <w:sz w:val="20"/>
                <w:szCs w:val="20"/>
              </w:rPr>
              <w:t>与</w:t>
            </w:r>
            <w:proofErr w:type="gramEnd"/>
            <w:r>
              <w:rPr>
                <w:rFonts w:hint="eastAsia"/>
                <w:sz w:val="20"/>
                <w:szCs w:val="20"/>
              </w:rPr>
              <w:t>责信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Community Engagement and Accountability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IFRC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4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全面的学校安全框架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Comprehensive School Safety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AVE THE CHILDREN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Lecture 5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社区韧性刺激</w:t>
            </w:r>
          </w:p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lastRenderedPageBreak/>
              <w:t>S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timulation of Community Resilience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CAUPD</w:t>
            </w: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  <w:t>CLOSING PLENARY ON 31, AUGUST</w:t>
            </w:r>
          </w:p>
        </w:tc>
      </w:tr>
      <w:tr w:rsidR="008C435C" w:rsidTr="00C76146">
        <w:tc>
          <w:tcPr>
            <w:tcW w:w="10490" w:type="dxa"/>
            <w:gridSpan w:val="4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  <w:t xml:space="preserve">OFFLINE TEACHING IN BEIJING CITY </w:t>
            </w:r>
            <w:proofErr w:type="gramStart"/>
            <w:r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  <w:t>( THE</w:t>
            </w:r>
            <w:proofErr w:type="gramEnd"/>
            <w:r>
              <w:rPr>
                <w:rFonts w:ascii="Calibri Bold" w:hAnsi="Calibri Bold" w:cs="Calibri Bold"/>
                <w:b/>
                <w:bCs/>
                <w:color w:val="000000"/>
                <w:sz w:val="20"/>
                <w:szCs w:val="20"/>
              </w:rPr>
              <w:t xml:space="preserve"> FIRST TIME)</w:t>
            </w:r>
          </w:p>
        </w:tc>
      </w:tr>
      <w:tr w:rsidR="008C435C" w:rsidTr="00C76146">
        <w:trPr>
          <w:trHeight w:val="680"/>
        </w:trPr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Mon.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t>Groups develop first idea of research question and general research approach for field resea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r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t>Plenary: groups present their draft research question and approach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</w:pPr>
            <w:r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  <w:t xml:space="preserve">OFFLINE TEACHING IN BEIJING CITY </w:t>
            </w:r>
            <w:proofErr w:type="gramStart"/>
            <w:r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  <w:t>( THE</w:t>
            </w:r>
            <w:proofErr w:type="gramEnd"/>
            <w:r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  <w:t xml:space="preserve"> SECOND TIME)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Mon.</w:t>
            </w:r>
          </w:p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31/8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Groups elaborate research strategy</w:t>
            </w:r>
          </w:p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Groups discuss their field trip design with selected staff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</w:pPr>
            <w:r>
              <w:rPr>
                <w:rFonts w:ascii="Calibri Bold" w:hAnsi="Calibri Bold" w:cs="Calibri Bold"/>
                <w:b/>
                <w:color w:val="000000"/>
                <w:sz w:val="20"/>
                <w:szCs w:val="20"/>
              </w:rPr>
              <w:t>FIELD TRIP IN NANJING CITY DAY 1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W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ed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.</w:t>
            </w: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22/9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Evening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抵达南京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t>Transfer to Nanjing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参加世界历史文化名城博览会开幕式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</w:rPr>
              <w:t xml:space="preserve">Opening Ceremony for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Wor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ld Historical and Cultural City Expo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b/>
                <w:bCs/>
                <w:sz w:val="20"/>
                <w:szCs w:val="20"/>
                <w:lang w:eastAsia="zh-Hans"/>
              </w:rPr>
              <w:t>FIELD TRIP</w:t>
            </w:r>
            <w:r>
              <w:rPr>
                <w:rFonts w:ascii="Calibri Regular" w:hAnsi="Calibri Regular" w:cs="Calibri Regular"/>
                <w:b/>
                <w:bCs/>
                <w:sz w:val="20"/>
                <w:szCs w:val="20"/>
              </w:rPr>
              <w:t xml:space="preserve"> IN NANJING CITY DAY 2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Thur.</w:t>
            </w: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23/9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参加名城会主论坛“文化推动历史文化名城可持续发展论坛”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Participating the theme forum on “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Cu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ltural Inspire History ·Sustainable Development of Cultural and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Hi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storical City”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Evening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参观原创文化</w:t>
            </w:r>
            <w:r>
              <w:rPr>
                <w:color w:val="000000"/>
                <w:sz w:val="20"/>
                <w:szCs w:val="20"/>
                <w:lang w:eastAsia="zh-Hans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未来想象</w:t>
            </w:r>
            <w:r>
              <w:rPr>
                <w:color w:val="000000"/>
                <w:sz w:val="20"/>
                <w:szCs w:val="20"/>
                <w:lang w:eastAsia="zh-Hans"/>
              </w:rPr>
              <w:t>——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传统手工艺当代设计实践成果展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The Exhibition of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Original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 C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h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inese Cultural &amp;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Fu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ture Visualization——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The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 Practical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Re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sults of Tra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ditional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 Handicrafts with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Co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ntemporary D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esi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gn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pStyle w:val="10"/>
              <w:jc w:val="center"/>
              <w:rPr>
                <w:rFonts w:ascii="Calibri Regular" w:hAnsi="Calibri Regular" w:cs="Calibri Regular"/>
                <w:b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b/>
                <w:bCs/>
                <w:sz w:val="20"/>
                <w:szCs w:val="20"/>
              </w:rPr>
              <w:t>FIELD TRIP IN NANJING CITY DAY 3</w:t>
            </w: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Fri.</w:t>
            </w:r>
          </w:p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24/9</w:t>
            </w: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体验城市文学“现场”重塑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Experience the city culture reframing in the first hand 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135" w:type="dxa"/>
            <w:shd w:val="clear" w:color="auto" w:fill="DDD9C3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435C" w:rsidRDefault="008C435C" w:rsidP="00C76146">
            <w:pPr>
              <w:jc w:val="center"/>
              <w:rPr>
                <w:rFonts w:ascii="Calibri Regular" w:hAnsi="Calibri Regular" w:cs="Calibri Regular"/>
                <w:color w:val="000000"/>
                <w:sz w:val="20"/>
                <w:szCs w:val="20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</w:rPr>
              <w:t>Evening</w:t>
            </w:r>
          </w:p>
        </w:tc>
        <w:tc>
          <w:tcPr>
            <w:tcW w:w="4820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参加世界城市文化论坛</w:t>
            </w:r>
          </w:p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Participating the World 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Urban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 xml:space="preserve"> C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ul</w:t>
            </w:r>
            <w:r>
              <w:rPr>
                <w:rFonts w:ascii="Calibri Regular" w:hAnsi="Calibri Regular" w:cs="Calibri Regular"/>
                <w:color w:val="000000"/>
                <w:sz w:val="20"/>
                <w:szCs w:val="20"/>
                <w:lang w:eastAsia="zh-Hans"/>
              </w:rPr>
              <w:t>tural F</w:t>
            </w:r>
            <w:r>
              <w:rPr>
                <w:rFonts w:ascii="Calibri Regular" w:hAnsi="Calibri Regular" w:cs="Calibri Regular" w:hint="eastAsia"/>
                <w:color w:val="000000"/>
                <w:sz w:val="20"/>
                <w:szCs w:val="20"/>
                <w:lang w:eastAsia="zh-Hans"/>
              </w:rPr>
              <w:t>orum</w:t>
            </w:r>
            <w:r>
              <w:rPr>
                <w:color w:val="000000"/>
                <w:sz w:val="20"/>
                <w:szCs w:val="20"/>
                <w:lang w:eastAsia="zh-Han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C435C" w:rsidRDefault="008C435C" w:rsidP="00C76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5C" w:rsidTr="00C76146">
        <w:tc>
          <w:tcPr>
            <w:tcW w:w="10490" w:type="dxa"/>
            <w:gridSpan w:val="4"/>
            <w:shd w:val="clear" w:color="auto" w:fill="D99594"/>
          </w:tcPr>
          <w:p w:rsidR="008C435C" w:rsidRDefault="008C435C" w:rsidP="00C76146">
            <w:pPr>
              <w:pStyle w:val="10"/>
              <w:jc w:val="center"/>
              <w:rPr>
                <w:rFonts w:asciiTheme="minorHAnsi" w:hAnsiTheme="minorHAnsi"/>
                <w:sz w:val="20"/>
                <w:szCs w:val="20"/>
                <w:lang w:eastAsia="zh-Hans"/>
              </w:rPr>
            </w:pPr>
            <w:r>
              <w:rPr>
                <w:b/>
                <w:color w:val="000000"/>
                <w:sz w:val="20"/>
                <w:szCs w:val="20"/>
              </w:rPr>
              <w:t>Departure</w:t>
            </w:r>
          </w:p>
        </w:tc>
      </w:tr>
    </w:tbl>
    <w:p w:rsidR="008C435C" w:rsidRDefault="008C435C" w:rsidP="008C435C">
      <w:pPr>
        <w:pStyle w:val="1"/>
        <w:ind w:left="420" w:firstLineChars="0" w:firstLine="0"/>
        <w:rPr>
          <w:rFonts w:ascii="宋体" w:eastAsia="宋体" w:hAnsi="宋体" w:cs="Arial"/>
          <w:b/>
          <w:sz w:val="24"/>
          <w:szCs w:val="24"/>
        </w:rPr>
      </w:pPr>
    </w:p>
    <w:p w:rsidR="00CE1F3E" w:rsidRDefault="00CE1F3E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8C435C">
      <w:pPr>
        <w:widowControl/>
        <w:jc w:val="left"/>
        <w:rPr>
          <w:rFonts w:ascii="宋体" w:eastAsia="宋体" w:hAnsi="宋体" w:cs="Arial"/>
          <w:b/>
          <w:sz w:val="24"/>
          <w:szCs w:val="24"/>
        </w:rPr>
      </w:pPr>
    </w:p>
    <w:p w:rsidR="00A07943" w:rsidRDefault="00A07943" w:rsidP="00A07943">
      <w:pPr>
        <w:rPr>
          <w:rFonts w:ascii="Calibri" w:eastAsia="宋体" w:hAnsi="Calibri" w:cs="Calibri"/>
          <w:b/>
          <w:sz w:val="24"/>
          <w:szCs w:val="24"/>
        </w:rPr>
      </w:pPr>
      <w:r>
        <w:rPr>
          <w:rFonts w:ascii="宋体" w:eastAsia="宋体" w:hAnsi="宋体" w:cs="Arial" w:hint="eastAsia"/>
          <w:b/>
          <w:sz w:val="24"/>
          <w:szCs w:val="24"/>
        </w:rPr>
        <w:lastRenderedPageBreak/>
        <w:t>报名申请表</w:t>
      </w:r>
      <w:r>
        <w:rPr>
          <w:rFonts w:ascii="Calibri" w:eastAsia="宋体" w:hAnsi="Calibri" w:cs="Calibri"/>
          <w:b/>
          <w:sz w:val="24"/>
          <w:szCs w:val="24"/>
        </w:rPr>
        <w:t xml:space="preserve"> Application form</w:t>
      </w:r>
    </w:p>
    <w:p w:rsidR="00A07943" w:rsidRDefault="00A07943" w:rsidP="00A07943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                    </w:t>
      </w:r>
    </w:p>
    <w:tbl>
      <w:tblPr>
        <w:tblStyle w:val="11"/>
        <w:tblW w:w="8712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A07943" w:rsidTr="00C7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姓名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N</w:t>
            </w:r>
            <w:r>
              <w:rPr>
                <w:rFonts w:ascii="Calibri" w:eastAsia="宋体" w:hAnsi="Calibri" w:cs="Calibri"/>
                <w:sz w:val="24"/>
                <w:szCs w:val="24"/>
              </w:rPr>
              <w:t>ame on passport</w:t>
            </w:r>
          </w:p>
        </w:tc>
        <w:tc>
          <w:tcPr>
            <w:tcW w:w="4356" w:type="dxa"/>
          </w:tcPr>
          <w:p w:rsidR="00A07943" w:rsidRDefault="00A07943" w:rsidP="00C76146">
            <w:pPr>
              <w:ind w:firstLine="4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A07943" w:rsidTr="00C7614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性别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G</w:t>
            </w:r>
            <w:r>
              <w:rPr>
                <w:rFonts w:ascii="Calibri" w:eastAsia="宋体" w:hAnsi="Calibri" w:cs="Calibri"/>
                <w:sz w:val="24"/>
                <w:szCs w:val="24"/>
              </w:rPr>
              <w:t>ender</w:t>
            </w:r>
          </w:p>
        </w:tc>
        <w:tc>
          <w:tcPr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出生日期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D</w:t>
            </w:r>
            <w:r>
              <w:rPr>
                <w:rFonts w:ascii="Calibri" w:eastAsia="宋体" w:hAnsi="Calibri" w:cs="Calibri"/>
                <w:sz w:val="24"/>
                <w:szCs w:val="24"/>
              </w:rPr>
              <w:t>ate of birth</w:t>
            </w:r>
          </w:p>
        </w:tc>
        <w:tc>
          <w:tcPr>
            <w:tcW w:w="4356" w:type="dxa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学习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工作单位</w:t>
            </w:r>
            <w:proofErr w:type="spellStart"/>
            <w:r>
              <w:rPr>
                <w:rFonts w:ascii="Calibri" w:eastAsia="宋体" w:hAnsi="Calibri" w:cs="Calibri"/>
                <w:sz w:val="24"/>
                <w:szCs w:val="24"/>
              </w:rPr>
              <w:t>Universiy</w:t>
            </w:r>
            <w:proofErr w:type="spellEnd"/>
            <w:r>
              <w:rPr>
                <w:rFonts w:ascii="Calibri" w:eastAsia="宋体" w:hAnsi="Calibri" w:cs="Calibri"/>
                <w:sz w:val="24"/>
                <w:szCs w:val="24"/>
              </w:rPr>
              <w:t>/Employment Institutions</w:t>
            </w:r>
          </w:p>
        </w:tc>
        <w:tc>
          <w:tcPr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专业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岗位</w:t>
            </w:r>
            <w:r>
              <w:rPr>
                <w:rFonts w:ascii="Calibri" w:eastAsia="宋体" w:hAnsi="Calibri" w:cs="Calibri"/>
                <w:sz w:val="24"/>
                <w:szCs w:val="24"/>
              </w:rPr>
              <w:t>Major/Occupation</w:t>
            </w:r>
          </w:p>
        </w:tc>
        <w:tc>
          <w:tcPr>
            <w:tcW w:w="4356" w:type="dxa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联系方式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Te</w:t>
            </w:r>
            <w:r>
              <w:rPr>
                <w:rFonts w:ascii="Calibri" w:eastAsia="宋体" w:hAnsi="Calibri" w:cs="Calibri"/>
                <w:sz w:val="24"/>
                <w:szCs w:val="24"/>
              </w:rPr>
              <w:t>l./Email address</w:t>
            </w:r>
          </w:p>
        </w:tc>
        <w:tc>
          <w:tcPr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最感兴趣的模块</w:t>
            </w:r>
            <w:r>
              <w:rPr>
                <w:rFonts w:ascii="Calibri" w:eastAsia="宋体" w:hAnsi="Calibri" w:cs="Calibri"/>
                <w:sz w:val="24"/>
                <w:szCs w:val="24"/>
              </w:rPr>
              <w:t>Most interested module</w:t>
            </w:r>
          </w:p>
        </w:tc>
        <w:tc>
          <w:tcPr>
            <w:tcW w:w="4356" w:type="dxa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A07943" w:rsidTr="00C761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rPr>
                <w:rFonts w:ascii="Calibri" w:eastAsia="宋体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是否可以参加线下研讨会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>Available for offline conference or not</w:t>
            </w:r>
          </w:p>
        </w:tc>
        <w:tc>
          <w:tcPr>
            <w:tcW w:w="4356" w:type="dxa"/>
            <w:shd w:val="clear" w:color="auto" w:fill="F2F2F2" w:themeFill="background1" w:themeFillShade="F2"/>
          </w:tcPr>
          <w:p w:rsidR="00A07943" w:rsidRDefault="00A07943" w:rsidP="00C76146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</w:tbl>
    <w:p w:rsidR="00A07943" w:rsidRDefault="00A07943" w:rsidP="00A07943">
      <w:pPr>
        <w:widowControl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 </w:t>
      </w:r>
    </w:p>
    <w:p w:rsidR="00A07943" w:rsidRDefault="00A07943" w:rsidP="00A07943">
      <w:pPr>
        <w:widowControl/>
        <w:jc w:val="left"/>
        <w:rPr>
          <w:rFonts w:ascii="宋体" w:eastAsia="宋体" w:hAnsi="宋体" w:cs="Arial"/>
          <w:sz w:val="20"/>
          <w:szCs w:val="24"/>
        </w:rPr>
      </w:pPr>
      <w:r>
        <w:rPr>
          <w:rFonts w:ascii="Calibri" w:eastAsia="宋体" w:hAnsi="Calibri" w:cs="Calibri" w:hint="eastAsia"/>
          <w:sz w:val="24"/>
          <w:szCs w:val="24"/>
        </w:rPr>
        <w:t>*</w:t>
      </w:r>
      <w:r>
        <w:rPr>
          <w:rFonts w:ascii="Calibri" w:eastAsia="宋体" w:hAnsi="Calibri" w:cs="Calibri" w:hint="eastAsia"/>
          <w:sz w:val="20"/>
          <w:szCs w:val="24"/>
        </w:rPr>
        <w:t>说明：</w:t>
      </w:r>
      <w:r>
        <w:rPr>
          <w:rFonts w:ascii="宋体" w:eastAsia="宋体" w:hAnsi="宋体" w:cs="Arial" w:hint="eastAsia"/>
          <w:sz w:val="20"/>
          <w:szCs w:val="24"/>
        </w:rPr>
        <w:t>学员需完成在线直播和录播课程的全部模块后，方可有机会参与南京</w:t>
      </w:r>
      <w:proofErr w:type="gramStart"/>
      <w:r>
        <w:rPr>
          <w:rFonts w:ascii="宋体" w:eastAsia="宋体" w:hAnsi="宋体" w:cs="Arial" w:hint="eastAsia"/>
          <w:sz w:val="20"/>
          <w:szCs w:val="24"/>
        </w:rPr>
        <w:t>研</w:t>
      </w:r>
      <w:proofErr w:type="gramEnd"/>
      <w:r>
        <w:rPr>
          <w:rFonts w:ascii="宋体" w:eastAsia="宋体" w:hAnsi="宋体" w:cs="Arial" w:hint="eastAsia"/>
          <w:sz w:val="20"/>
          <w:szCs w:val="24"/>
        </w:rPr>
        <w:t>学的项目。（</w:t>
      </w:r>
      <w:r>
        <w:rPr>
          <w:rFonts w:ascii="Calibri" w:eastAsia="宋体" w:hAnsi="Calibri" w:cs="Calibri"/>
          <w:sz w:val="20"/>
          <w:szCs w:val="24"/>
        </w:rPr>
        <w:t>Notice: Participants should take full attendance of the synchronous live teaching classes and the asynchronous recording classes, can they take apart in the field trip in Nanjing City.</w:t>
      </w:r>
      <w:r>
        <w:rPr>
          <w:rFonts w:ascii="宋体" w:eastAsia="宋体" w:hAnsi="宋体" w:cs="Arial" w:hint="eastAsia"/>
          <w:sz w:val="20"/>
          <w:szCs w:val="24"/>
        </w:rPr>
        <w:t>）</w:t>
      </w:r>
    </w:p>
    <w:p w:rsidR="00A07943" w:rsidRDefault="00A07943" w:rsidP="00A07943">
      <w:pPr>
        <w:rPr>
          <w:rFonts w:ascii="Calibri" w:eastAsia="宋体" w:hAnsi="Calibri" w:cs="Calibri"/>
          <w:sz w:val="24"/>
          <w:szCs w:val="24"/>
        </w:rPr>
      </w:pPr>
    </w:p>
    <w:p w:rsidR="00A07943" w:rsidRDefault="00A07943" w:rsidP="00A07943"/>
    <w:p w:rsidR="00A07943" w:rsidRPr="00A07943" w:rsidRDefault="00A07943" w:rsidP="008C435C">
      <w:pPr>
        <w:widowControl/>
        <w:jc w:val="left"/>
        <w:rPr>
          <w:rFonts w:ascii="宋体" w:eastAsia="宋体" w:hAnsi="宋体" w:cs="Arial" w:hint="eastAsia"/>
          <w:b/>
          <w:sz w:val="24"/>
          <w:szCs w:val="24"/>
        </w:rPr>
      </w:pPr>
    </w:p>
    <w:sectPr w:rsidR="00A07943" w:rsidRPr="00A0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54" w:rsidRDefault="00B97054" w:rsidP="00A07943">
      <w:r>
        <w:separator/>
      </w:r>
    </w:p>
  </w:endnote>
  <w:endnote w:type="continuationSeparator" w:id="0">
    <w:p w:rsidR="00B97054" w:rsidRDefault="00B97054" w:rsidP="00A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default"/>
    <w:sig w:usb0="A00002EF" w:usb1="4000207B" w:usb2="00000000" w:usb3="00000000" w:csb0="2000009F" w:csb1="00000000"/>
  </w:font>
  <w:font w:name="Calibri Regular">
    <w:altName w:val="Calibri"/>
    <w:charset w:val="00"/>
    <w:family w:val="auto"/>
    <w:pitch w:val="default"/>
    <w:sig w:usb0="A00002EF" w:usb1="4000207B" w:usb2="00000000" w:usb3="00000000" w:csb0="2000009F" w:csb1="00000000"/>
  </w:font>
  <w:font w:name="Adobe Caslon Pro">
    <w:altName w:val="Palatino Linotype"/>
    <w:charset w:val="00"/>
    <w:family w:val="roman"/>
    <w:pitch w:val="default"/>
    <w:sig w:usb0="00000000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54" w:rsidRDefault="00B97054" w:rsidP="00A07943">
      <w:r>
        <w:separator/>
      </w:r>
    </w:p>
  </w:footnote>
  <w:footnote w:type="continuationSeparator" w:id="0">
    <w:p w:rsidR="00B97054" w:rsidRDefault="00B97054" w:rsidP="00A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95BF7"/>
    <w:multiLevelType w:val="multilevel"/>
    <w:tmpl w:val="73A95BF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5C"/>
    <w:rsid w:val="008C435C"/>
    <w:rsid w:val="00A07943"/>
    <w:rsid w:val="00B97054"/>
    <w:rsid w:val="00C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DC12"/>
  <w15:chartTrackingRefBased/>
  <w15:docId w15:val="{8297DC43-F374-495D-ABD5-F2D699ED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8C435C"/>
    <w:pPr>
      <w:ind w:firstLineChars="200" w:firstLine="420"/>
    </w:pPr>
  </w:style>
  <w:style w:type="paragraph" w:customStyle="1" w:styleId="10">
    <w:name w:val="无间隔1"/>
    <w:uiPriority w:val="1"/>
    <w:qFormat/>
    <w:rsid w:val="008C435C"/>
    <w:rPr>
      <w:rFonts w:ascii="Calibri" w:eastAsia="宋体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0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943"/>
    <w:rPr>
      <w:sz w:val="18"/>
      <w:szCs w:val="18"/>
    </w:rPr>
  </w:style>
  <w:style w:type="table" w:customStyle="1" w:styleId="11">
    <w:name w:val="无格式表格 11"/>
    <w:basedOn w:val="a1"/>
    <w:uiPriority w:val="41"/>
    <w:qFormat/>
    <w:rsid w:val="00A07943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2021-07-27T12:46:00Z</dcterms:created>
  <dcterms:modified xsi:type="dcterms:W3CDTF">2021-07-27T13:00:00Z</dcterms:modified>
</cp:coreProperties>
</file>